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BFF"/>
  <w:body>
    <w:p w14:paraId="6B791B1E" w14:textId="77777777" w:rsidR="00F965B5" w:rsidRDefault="00000000">
      <w:r>
        <w:rPr>
          <w:noProof/>
        </w:rPr>
        <w:drawing>
          <wp:anchor distT="114300" distB="114300" distL="114300" distR="114300" simplePos="0" relativeHeight="251658240" behindDoc="0" locked="0" layoutInCell="1" hidden="0" allowOverlap="1" wp14:anchorId="1A3A6BB2" wp14:editId="4E424B47">
            <wp:simplePos x="0" y="0"/>
            <wp:positionH relativeFrom="column">
              <wp:posOffset>19051</wp:posOffset>
            </wp:positionH>
            <wp:positionV relativeFrom="paragraph">
              <wp:posOffset>114300</wp:posOffset>
            </wp:positionV>
            <wp:extent cx="2513738" cy="167997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13738" cy="1679973"/>
                    </a:xfrm>
                    <a:prstGeom prst="rect">
                      <a:avLst/>
                    </a:prstGeom>
                    <a:ln/>
                  </pic:spPr>
                </pic:pic>
              </a:graphicData>
            </a:graphic>
          </wp:anchor>
        </w:drawing>
      </w:r>
    </w:p>
    <w:tbl>
      <w:tblPr>
        <w:tblStyle w:val="a"/>
        <w:tblW w:w="5820" w:type="dxa"/>
        <w:tblInd w:w="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tblGrid>
      <w:tr w:rsidR="00F965B5" w14:paraId="5A396411" w14:textId="77777777">
        <w:trPr>
          <w:trHeight w:val="2415"/>
        </w:trPr>
        <w:tc>
          <w:tcPr>
            <w:tcW w:w="5820" w:type="dxa"/>
            <w:tcBorders>
              <w:top w:val="single" w:sz="8" w:space="0" w:color="EAFBFF"/>
              <w:left w:val="single" w:sz="8" w:space="0" w:color="EAFBFF"/>
              <w:bottom w:val="single" w:sz="8" w:space="0" w:color="EAFBFF"/>
              <w:right w:val="single" w:sz="8" w:space="0" w:color="EAFBFF"/>
            </w:tcBorders>
            <w:tcMar>
              <w:top w:w="100" w:type="dxa"/>
              <w:left w:w="100" w:type="dxa"/>
              <w:bottom w:w="100" w:type="dxa"/>
              <w:right w:w="100" w:type="dxa"/>
            </w:tcMar>
          </w:tcPr>
          <w:p w14:paraId="201248B5" w14:textId="77777777" w:rsidR="00F965B5" w:rsidRDefault="00000000">
            <w:pPr>
              <w:widowControl w:val="0"/>
              <w:pBdr>
                <w:top w:val="nil"/>
                <w:left w:val="nil"/>
                <w:bottom w:val="nil"/>
                <w:right w:val="nil"/>
                <w:between w:val="nil"/>
              </w:pBdr>
              <w:spacing w:line="240" w:lineRule="auto"/>
            </w:pPr>
            <w:r>
              <w:rPr>
                <w:b/>
              </w:rPr>
              <w:t>Organiser</w:t>
            </w:r>
            <w:r>
              <w:t>: ECSWE, Alliance for Childhood</w:t>
            </w:r>
          </w:p>
          <w:p w14:paraId="787C1680" w14:textId="77777777" w:rsidR="00F965B5" w:rsidRDefault="00F965B5">
            <w:pPr>
              <w:widowControl w:val="0"/>
              <w:pBdr>
                <w:top w:val="nil"/>
                <w:left w:val="nil"/>
                <w:bottom w:val="nil"/>
                <w:right w:val="nil"/>
                <w:between w:val="nil"/>
              </w:pBdr>
              <w:spacing w:line="240" w:lineRule="auto"/>
            </w:pPr>
          </w:p>
          <w:p w14:paraId="4B782908" w14:textId="77777777" w:rsidR="00F965B5" w:rsidRDefault="00000000">
            <w:pPr>
              <w:widowControl w:val="0"/>
              <w:pBdr>
                <w:top w:val="nil"/>
                <w:left w:val="nil"/>
                <w:bottom w:val="nil"/>
                <w:right w:val="nil"/>
                <w:between w:val="nil"/>
              </w:pBdr>
              <w:spacing w:line="240" w:lineRule="auto"/>
            </w:pPr>
            <w:r>
              <w:rPr>
                <w:b/>
              </w:rPr>
              <w:t>When</w:t>
            </w:r>
            <w:r>
              <w:t>: 30 November, 12.00-13.30</w:t>
            </w:r>
          </w:p>
          <w:p w14:paraId="5BCAED8C" w14:textId="77777777" w:rsidR="00F965B5" w:rsidRDefault="00F965B5">
            <w:pPr>
              <w:widowControl w:val="0"/>
              <w:pBdr>
                <w:top w:val="nil"/>
                <w:left w:val="nil"/>
                <w:bottom w:val="nil"/>
                <w:right w:val="nil"/>
                <w:between w:val="nil"/>
              </w:pBdr>
              <w:spacing w:line="240" w:lineRule="auto"/>
            </w:pPr>
          </w:p>
          <w:p w14:paraId="1308054E" w14:textId="2BB4BD56" w:rsidR="00F965B5" w:rsidRDefault="00000000">
            <w:pPr>
              <w:widowControl w:val="0"/>
              <w:pBdr>
                <w:top w:val="nil"/>
                <w:left w:val="nil"/>
                <w:bottom w:val="nil"/>
                <w:right w:val="nil"/>
                <w:between w:val="nil"/>
              </w:pBdr>
              <w:spacing w:line="240" w:lineRule="auto"/>
            </w:pPr>
            <w:r>
              <w:rPr>
                <w:b/>
              </w:rPr>
              <w:t xml:space="preserve">Where: </w:t>
            </w:r>
            <w:r>
              <w:t xml:space="preserve">Brussels </w:t>
            </w:r>
          </w:p>
          <w:p w14:paraId="4FD05DB0" w14:textId="77777777" w:rsidR="005A64A8" w:rsidRDefault="005A64A8">
            <w:pPr>
              <w:widowControl w:val="0"/>
              <w:pBdr>
                <w:top w:val="nil"/>
                <w:left w:val="nil"/>
                <w:bottom w:val="nil"/>
                <w:right w:val="nil"/>
                <w:between w:val="nil"/>
              </w:pBdr>
              <w:spacing w:line="240" w:lineRule="auto"/>
            </w:pPr>
          </w:p>
          <w:p w14:paraId="35C034F6" w14:textId="77777777" w:rsidR="00F965B5" w:rsidRDefault="00F965B5">
            <w:pPr>
              <w:widowControl w:val="0"/>
              <w:pBdr>
                <w:top w:val="nil"/>
                <w:left w:val="nil"/>
                <w:bottom w:val="nil"/>
                <w:right w:val="nil"/>
                <w:between w:val="nil"/>
              </w:pBdr>
              <w:spacing w:line="240" w:lineRule="auto"/>
            </w:pPr>
          </w:p>
          <w:p w14:paraId="447867F8" w14:textId="77777777" w:rsidR="00F965B5" w:rsidRDefault="00F965B5" w:rsidP="005B34A9">
            <w:pPr>
              <w:widowControl w:val="0"/>
              <w:pBdr>
                <w:top w:val="nil"/>
                <w:left w:val="nil"/>
                <w:bottom w:val="nil"/>
                <w:right w:val="nil"/>
                <w:between w:val="nil"/>
              </w:pBdr>
              <w:spacing w:line="240" w:lineRule="auto"/>
              <w:rPr>
                <w:i/>
              </w:rPr>
            </w:pPr>
          </w:p>
        </w:tc>
      </w:tr>
    </w:tbl>
    <w:p w14:paraId="66C0CB3F" w14:textId="77777777" w:rsidR="00F965B5" w:rsidRDefault="00F965B5">
      <w:pPr>
        <w:jc w:val="center"/>
        <w:rPr>
          <w:b/>
          <w:color w:val="0F5089"/>
          <w:sz w:val="24"/>
          <w:szCs w:val="24"/>
        </w:rPr>
      </w:pPr>
    </w:p>
    <w:p w14:paraId="0D421F62" w14:textId="77777777" w:rsidR="00F965B5" w:rsidRDefault="00000000">
      <w:pPr>
        <w:jc w:val="center"/>
        <w:rPr>
          <w:b/>
          <w:color w:val="0F5089"/>
        </w:rPr>
      </w:pPr>
      <w:r>
        <w:rPr>
          <w:b/>
          <w:color w:val="0F5089"/>
          <w:sz w:val="24"/>
          <w:szCs w:val="24"/>
        </w:rPr>
        <w:t>87th Quality of Childhood (</w:t>
      </w:r>
      <w:proofErr w:type="spellStart"/>
      <w:r>
        <w:rPr>
          <w:b/>
          <w:color w:val="0F5089"/>
          <w:sz w:val="24"/>
          <w:szCs w:val="24"/>
        </w:rPr>
        <w:t>QoC</w:t>
      </w:r>
      <w:proofErr w:type="spellEnd"/>
      <w:r>
        <w:rPr>
          <w:b/>
          <w:color w:val="0F5089"/>
          <w:sz w:val="24"/>
          <w:szCs w:val="24"/>
        </w:rPr>
        <w:t xml:space="preserve">) Talk: </w:t>
      </w:r>
      <w:r>
        <w:rPr>
          <w:b/>
          <w:color w:val="0F5089"/>
          <w:sz w:val="24"/>
          <w:szCs w:val="24"/>
        </w:rPr>
        <w:br/>
        <w:t>Media Maturity and How to Build It?</w:t>
      </w:r>
    </w:p>
    <w:p w14:paraId="3CBAB0DE" w14:textId="77777777" w:rsidR="00F965B5" w:rsidRDefault="00F965B5">
      <w:pPr>
        <w:rPr>
          <w:b/>
          <w:color w:val="EAFBFF"/>
        </w:rPr>
      </w:pPr>
    </w:p>
    <w:p w14:paraId="61200C50" w14:textId="77777777" w:rsidR="00F965B5" w:rsidRDefault="00000000">
      <w:pPr>
        <w:rPr>
          <w:b/>
          <w:color w:val="0F5089"/>
        </w:rPr>
      </w:pPr>
      <w:r>
        <w:rPr>
          <w:b/>
          <w:color w:val="0F5089"/>
        </w:rPr>
        <w:t>Concept</w:t>
      </w:r>
    </w:p>
    <w:p w14:paraId="258546D6" w14:textId="77777777" w:rsidR="00F965B5" w:rsidRDefault="00000000">
      <w:pPr>
        <w:jc w:val="both"/>
      </w:pPr>
      <w:r>
        <w:t xml:space="preserve">The pressure for more and more digital tools in education can </w:t>
      </w:r>
      <w:proofErr w:type="gramStart"/>
      <w:r>
        <w:t>be connected with</w:t>
      </w:r>
      <w:proofErr w:type="gramEnd"/>
      <w:r>
        <w:t xml:space="preserve"> the benefits that this brings to the correlated markets. Analogue tools are often already easily accessible to kindergartens and schools as these were traditionally used in education and can often be put together or built with simple materials in the classroom. Education systems in Europe should not submit to the growing interest of the digital tools market but should always keep the best interest of its learners in the centre. </w:t>
      </w:r>
      <w:proofErr w:type="gramStart"/>
      <w:r>
        <w:t>Therefore</w:t>
      </w:r>
      <w:proofErr w:type="gramEnd"/>
      <w:r>
        <w:t xml:space="preserve"> the focus of this event will be on how educators and accompanying stakeholders can deliver lessons that aim at building the media maturity of the learners in the most effective way by the combination of analogue and digital tools. </w:t>
      </w:r>
    </w:p>
    <w:p w14:paraId="04FB3731" w14:textId="77777777" w:rsidR="00F965B5" w:rsidRDefault="00F965B5">
      <w:pPr>
        <w:jc w:val="both"/>
      </w:pPr>
    </w:p>
    <w:p w14:paraId="3481162A" w14:textId="77777777" w:rsidR="00F965B5" w:rsidRDefault="00000000">
      <w:pPr>
        <w:jc w:val="both"/>
      </w:pPr>
      <w:r>
        <w:t xml:space="preserve">The event will take the participants through the challenges inherent in existing digital media education policies. It will do this by bringing the results of the recently published German-wide research in the field. </w:t>
      </w:r>
      <w:hyperlink r:id="rId7">
        <w:r>
          <w:rPr>
            <w:color w:val="1155CC"/>
            <w:u w:val="single"/>
          </w:rPr>
          <w:t xml:space="preserve">The </w:t>
        </w:r>
        <w:proofErr w:type="spellStart"/>
        <w:r>
          <w:rPr>
            <w:color w:val="1155CC"/>
            <w:u w:val="single"/>
          </w:rPr>
          <w:t>MünDig</w:t>
        </w:r>
        <w:proofErr w:type="spellEnd"/>
        <w:r>
          <w:rPr>
            <w:color w:val="1155CC"/>
            <w:u w:val="single"/>
          </w:rPr>
          <w:t xml:space="preserve"> Study</w:t>
        </w:r>
      </w:hyperlink>
      <w:r>
        <w:t xml:space="preserve"> which touches on whether a combination of analogue media (</w:t>
      </w:r>
      <w:proofErr w:type="gramStart"/>
      <w:r>
        <w:t>e.g.</w:t>
      </w:r>
      <w:proofErr w:type="gramEnd"/>
      <w:r>
        <w:t xml:space="preserve"> notebooks, flip-books and library visits) and digital media (e.g. tablets and PC) is the necessary combination for children and young people in order to learn to use media confidently. The study touches upon the question of which medium - </w:t>
      </w:r>
      <w:proofErr w:type="spellStart"/>
      <w:r>
        <w:t>analog</w:t>
      </w:r>
      <w:proofErr w:type="spellEnd"/>
      <w:r>
        <w:t xml:space="preserve"> or digital - is useful for what purpose and at what age. All this is to empower learners to build media maturity and avoid media addictions and its negative impacts on physical and mental health. To answer these challenges in schools by educators and at home by parents ECSWE has put together a project partnership </w:t>
      </w:r>
      <w:hyperlink r:id="rId8">
        <w:r>
          <w:rPr>
            <w:color w:val="1155CC"/>
            <w:u w:val="single"/>
          </w:rPr>
          <w:t>HERMMES</w:t>
        </w:r>
      </w:hyperlink>
      <w:r>
        <w:t xml:space="preserve">. In the next 3 years the partners will deliver curriculum, ideas on school policy guidelines and training that can empower all involved stakeholders in supporting learners in achieving media maturity. </w:t>
      </w:r>
    </w:p>
    <w:p w14:paraId="573C080C" w14:textId="77777777" w:rsidR="00F965B5" w:rsidRDefault="00F965B5">
      <w:pPr>
        <w:rPr>
          <w:b/>
          <w:color w:val="0F5089"/>
        </w:rPr>
      </w:pPr>
    </w:p>
    <w:p w14:paraId="350D9671" w14:textId="77777777" w:rsidR="00F965B5" w:rsidRDefault="00000000">
      <w:pPr>
        <w:rPr>
          <w:b/>
          <w:color w:val="0F5089"/>
        </w:rPr>
      </w:pPr>
      <w:r>
        <w:rPr>
          <w:b/>
          <w:color w:val="0F5089"/>
        </w:rPr>
        <w:t>Agenda</w:t>
      </w:r>
    </w:p>
    <w:p w14:paraId="65513DF9" w14:textId="77777777" w:rsidR="00F965B5" w:rsidRDefault="00F965B5">
      <w:pPr>
        <w:rPr>
          <w:b/>
          <w:color w:val="0F5089"/>
        </w:rPr>
      </w:pPr>
    </w:p>
    <w:p w14:paraId="78C359E3" w14:textId="77777777" w:rsidR="00F965B5" w:rsidRDefault="00000000">
      <w:pPr>
        <w:jc w:val="both"/>
        <w:rPr>
          <w:b/>
        </w:rPr>
      </w:pPr>
      <w:r>
        <w:rPr>
          <w:b/>
          <w:color w:val="0F5089"/>
        </w:rPr>
        <w:t>12.00</w:t>
      </w:r>
      <w:r>
        <w:rPr>
          <w:b/>
        </w:rPr>
        <w:tab/>
        <w:t>Words of welcome</w:t>
      </w:r>
    </w:p>
    <w:p w14:paraId="795C50E6" w14:textId="77777777" w:rsidR="00F965B5" w:rsidRDefault="00000000">
      <w:pPr>
        <w:ind w:left="720"/>
        <w:jc w:val="both"/>
        <w:rPr>
          <w:b/>
        </w:rPr>
      </w:pPr>
      <w:r>
        <w:t>Christopher Clouder, Alliance for Childhood</w:t>
      </w:r>
    </w:p>
    <w:p w14:paraId="65987612" w14:textId="77777777" w:rsidR="00F965B5" w:rsidRDefault="00000000">
      <w:pPr>
        <w:ind w:firstLine="720"/>
        <w:jc w:val="both"/>
      </w:pPr>
      <w:r>
        <w:t xml:space="preserve">MEP Victor </w:t>
      </w:r>
      <w:proofErr w:type="spellStart"/>
      <w:r>
        <w:t>Negrescu</w:t>
      </w:r>
      <w:proofErr w:type="spellEnd"/>
      <w:r>
        <w:t>, CULT Committee</w:t>
      </w:r>
    </w:p>
    <w:p w14:paraId="24F68DBF" w14:textId="77777777" w:rsidR="00F965B5" w:rsidRDefault="00000000">
      <w:pPr>
        <w:jc w:val="both"/>
        <w:rPr>
          <w:b/>
        </w:rPr>
      </w:pPr>
      <w:proofErr w:type="gramStart"/>
      <w:r>
        <w:rPr>
          <w:b/>
          <w:color w:val="0F5089"/>
        </w:rPr>
        <w:t xml:space="preserve">12.15  </w:t>
      </w:r>
      <w:r>
        <w:rPr>
          <w:b/>
        </w:rPr>
        <w:t>The</w:t>
      </w:r>
      <w:proofErr w:type="gramEnd"/>
      <w:r>
        <w:rPr>
          <w:b/>
        </w:rPr>
        <w:t xml:space="preserve"> </w:t>
      </w:r>
      <w:proofErr w:type="spellStart"/>
      <w:r>
        <w:rPr>
          <w:b/>
        </w:rPr>
        <w:t>MünDig</w:t>
      </w:r>
      <w:proofErr w:type="spellEnd"/>
      <w:r>
        <w:rPr>
          <w:b/>
        </w:rPr>
        <w:t xml:space="preserve"> Study: findings and implications for education</w:t>
      </w:r>
    </w:p>
    <w:p w14:paraId="21A89FDF" w14:textId="77777777" w:rsidR="00F965B5" w:rsidRDefault="00000000">
      <w:pPr>
        <w:ind w:left="720"/>
        <w:jc w:val="both"/>
      </w:pPr>
      <w:r>
        <w:t xml:space="preserve">Paula Bleckmann, </w:t>
      </w:r>
      <w:proofErr w:type="spellStart"/>
      <w:r>
        <w:t>Alanus</w:t>
      </w:r>
      <w:proofErr w:type="spellEnd"/>
      <w:r>
        <w:t xml:space="preserve"> University</w:t>
      </w:r>
    </w:p>
    <w:p w14:paraId="5D09EC6D" w14:textId="77777777" w:rsidR="00F965B5" w:rsidRDefault="00000000">
      <w:pPr>
        <w:jc w:val="both"/>
        <w:rPr>
          <w:b/>
        </w:rPr>
      </w:pPr>
      <w:proofErr w:type="gramStart"/>
      <w:r>
        <w:rPr>
          <w:b/>
          <w:color w:val="0F5089"/>
        </w:rPr>
        <w:t xml:space="preserve">12.45  </w:t>
      </w:r>
      <w:r>
        <w:rPr>
          <w:b/>
        </w:rPr>
        <w:t>HERMMES</w:t>
      </w:r>
      <w:proofErr w:type="gramEnd"/>
      <w:r>
        <w:rPr>
          <w:b/>
        </w:rPr>
        <w:t xml:space="preserve"> project: aims and relevance</w:t>
      </w:r>
    </w:p>
    <w:p w14:paraId="60BFF733" w14:textId="77777777" w:rsidR="00F965B5" w:rsidRDefault="00000000">
      <w:pPr>
        <w:ind w:left="720"/>
        <w:jc w:val="both"/>
      </w:pPr>
      <w:proofErr w:type="gramStart"/>
      <w:r>
        <w:t>Márti  Domokos</w:t>
      </w:r>
      <w:proofErr w:type="gramEnd"/>
      <w:r>
        <w:t>, ECSWE</w:t>
      </w:r>
    </w:p>
    <w:p w14:paraId="3F7B450E" w14:textId="77777777" w:rsidR="00F965B5" w:rsidRDefault="00000000">
      <w:pPr>
        <w:jc w:val="both"/>
      </w:pPr>
      <w:proofErr w:type="gramStart"/>
      <w:r>
        <w:rPr>
          <w:b/>
          <w:color w:val="0F5089"/>
        </w:rPr>
        <w:t xml:space="preserve">12.55  </w:t>
      </w:r>
      <w:r>
        <w:rPr>
          <w:b/>
        </w:rPr>
        <w:t>Interactive</w:t>
      </w:r>
      <w:proofErr w:type="gramEnd"/>
      <w:r>
        <w:rPr>
          <w:b/>
        </w:rPr>
        <w:t xml:space="preserve"> activity</w:t>
      </w:r>
    </w:p>
    <w:p w14:paraId="771508A4" w14:textId="77777777" w:rsidR="00F965B5" w:rsidRDefault="00000000">
      <w:pPr>
        <w:jc w:val="both"/>
        <w:rPr>
          <w:b/>
        </w:rPr>
      </w:pPr>
      <w:proofErr w:type="gramStart"/>
      <w:r>
        <w:rPr>
          <w:b/>
          <w:color w:val="0F5089"/>
        </w:rPr>
        <w:t xml:space="preserve">13.10  </w:t>
      </w:r>
      <w:r>
        <w:rPr>
          <w:b/>
        </w:rPr>
        <w:t>Reflections</w:t>
      </w:r>
      <w:proofErr w:type="gramEnd"/>
    </w:p>
    <w:p w14:paraId="7CF9849E" w14:textId="77777777" w:rsidR="00F965B5" w:rsidRDefault="00000000">
      <w:pPr>
        <w:ind w:left="720"/>
        <w:jc w:val="both"/>
      </w:pPr>
      <w:r>
        <w:t>Arja Krauchenberg, Lifelong Learning Platform &amp; European Parents’ Association</w:t>
      </w:r>
      <w:r>
        <w:br/>
        <w:t>DG EAC DELTA Working group representative (tbc)</w:t>
      </w:r>
    </w:p>
    <w:p w14:paraId="0B61AA25" w14:textId="77777777" w:rsidR="00F965B5" w:rsidRDefault="00000000">
      <w:pPr>
        <w:jc w:val="both"/>
        <w:rPr>
          <w:b/>
        </w:rPr>
      </w:pPr>
      <w:proofErr w:type="gramStart"/>
      <w:r>
        <w:rPr>
          <w:b/>
          <w:color w:val="0F5089"/>
        </w:rPr>
        <w:t xml:space="preserve">13.20  </w:t>
      </w:r>
      <w:r>
        <w:rPr>
          <w:b/>
        </w:rPr>
        <w:t>Conclusions</w:t>
      </w:r>
      <w:proofErr w:type="gramEnd"/>
      <w:r>
        <w:rPr>
          <w:b/>
        </w:rPr>
        <w:t xml:space="preserve"> and closing words</w:t>
      </w:r>
    </w:p>
    <w:p w14:paraId="3CC913F3" w14:textId="77777777" w:rsidR="00F965B5" w:rsidRDefault="00000000">
      <w:pPr>
        <w:ind w:firstLine="720"/>
        <w:jc w:val="both"/>
      </w:pPr>
      <w:r>
        <w:t xml:space="preserve">MEP Victor </w:t>
      </w:r>
      <w:proofErr w:type="spellStart"/>
      <w:r>
        <w:t>Negrescu</w:t>
      </w:r>
      <w:proofErr w:type="spellEnd"/>
      <w:r>
        <w:t>, CULT Committee</w:t>
      </w:r>
    </w:p>
    <w:p w14:paraId="090F2833" w14:textId="77777777" w:rsidR="00F965B5" w:rsidRDefault="00F965B5">
      <w:pPr>
        <w:jc w:val="both"/>
      </w:pPr>
    </w:p>
    <w:p w14:paraId="2585D49E" w14:textId="77777777" w:rsidR="00F965B5" w:rsidRDefault="00000000">
      <w:pPr>
        <w:ind w:firstLine="720"/>
        <w:jc w:val="both"/>
      </w:pPr>
      <w:r>
        <w:rPr>
          <w:b/>
        </w:rPr>
        <w:t xml:space="preserve">Moderation: </w:t>
      </w:r>
      <w:r>
        <w:t>Christopher Clouder, Alliance for Childhood</w:t>
      </w:r>
    </w:p>
    <w:sectPr w:rsidR="00F965B5">
      <w:headerReference w:type="default" r:id="rId9"/>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F74F" w14:textId="77777777" w:rsidR="00C935F2" w:rsidRDefault="00C935F2">
      <w:pPr>
        <w:spacing w:line="240" w:lineRule="auto"/>
      </w:pPr>
      <w:r>
        <w:separator/>
      </w:r>
    </w:p>
  </w:endnote>
  <w:endnote w:type="continuationSeparator" w:id="0">
    <w:p w14:paraId="6F6746F3" w14:textId="77777777" w:rsidR="00C935F2" w:rsidRDefault="00C93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6C34" w14:textId="77777777" w:rsidR="00C935F2" w:rsidRDefault="00C935F2">
      <w:pPr>
        <w:spacing w:line="240" w:lineRule="auto"/>
      </w:pPr>
      <w:r>
        <w:separator/>
      </w:r>
    </w:p>
  </w:footnote>
  <w:footnote w:type="continuationSeparator" w:id="0">
    <w:p w14:paraId="3B0F78F5" w14:textId="77777777" w:rsidR="00C935F2" w:rsidRDefault="00C93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5CB" w14:textId="77777777" w:rsidR="00F965B5" w:rsidRDefault="00F965B5">
    <w:pP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B5"/>
    <w:rsid w:val="00042293"/>
    <w:rsid w:val="00151CAB"/>
    <w:rsid w:val="005A64A8"/>
    <w:rsid w:val="005B34A9"/>
    <w:rsid w:val="00AE35C1"/>
    <w:rsid w:val="00C935F2"/>
    <w:rsid w:val="00F96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AA31"/>
  <w15:docId w15:val="{6EBFFAD6-ECA2-4856-A303-3AE69001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swe.eu/hermmes/" TargetMode="External"/><Relationship Id="rId3" Type="http://schemas.openxmlformats.org/officeDocument/2006/relationships/webSettings" Target="webSettings.xml"/><Relationship Id="rId7" Type="http://schemas.openxmlformats.org/officeDocument/2006/relationships/hyperlink" Target="https://muendig-studie.de/wp-content/uploads/2022/07/Ergebnisbericht-Walddor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Piccolo</dc:creator>
  <cp:lastModifiedBy>Chiara Piccolo</cp:lastModifiedBy>
  <cp:revision>4</cp:revision>
  <dcterms:created xsi:type="dcterms:W3CDTF">2022-11-16T08:45:00Z</dcterms:created>
  <dcterms:modified xsi:type="dcterms:W3CDTF">2023-03-13T13:58:00Z</dcterms:modified>
</cp:coreProperties>
</file>